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1AE" w14:textId="5897E754" w:rsidR="00DF2D1D" w:rsidRDefault="00DF2D1D"/>
    <w:p w14:paraId="111EED6C" w14:textId="77777777" w:rsidR="008D3020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8A">
        <w:rPr>
          <w:rFonts w:ascii="Times New Roman" w:hAnsi="Times New Roman"/>
          <w:b/>
          <w:bCs/>
          <w:sz w:val="28"/>
          <w:szCs w:val="28"/>
        </w:rPr>
        <w:t>Informacja o podziale czynności oraz sposobie uczestniczenia</w:t>
      </w:r>
      <w:r w:rsidRPr="00A10F8A">
        <w:rPr>
          <w:rFonts w:ascii="Times New Roman" w:hAnsi="Times New Roman"/>
          <w:b/>
          <w:bCs/>
          <w:sz w:val="28"/>
          <w:szCs w:val="28"/>
        </w:rPr>
        <w:br/>
        <w:t>w przydziale spraw w Sądzie Rejonowym w Tucholi</w:t>
      </w:r>
    </w:p>
    <w:p w14:paraId="6A870EE4" w14:textId="77777777" w:rsidR="008D3020" w:rsidRPr="00A10F8A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14:paraId="5A5325AE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obowiązujący od 01 stycznia 2022 </w:t>
      </w:r>
    </w:p>
    <w:p w14:paraId="42D970C8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>2) zmieniony w dniach:</w:t>
      </w:r>
    </w:p>
    <w:p w14:paraId="2AC88A11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</w:p>
    <w:p w14:paraId="6A6566BF" w14:textId="77777777" w:rsidR="008D3020" w:rsidRPr="00A10F8A" w:rsidRDefault="008D3020" w:rsidP="008D302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10F8A">
        <w:rPr>
          <w:rFonts w:ascii="Times New Roman" w:hAnsi="Times New Roman"/>
          <w:b/>
          <w:bCs/>
          <w:sz w:val="32"/>
          <w:szCs w:val="32"/>
        </w:rPr>
        <w:t>I</w:t>
      </w:r>
    </w:p>
    <w:p w14:paraId="4F238C8C" w14:textId="77777777" w:rsidR="008D3020" w:rsidRPr="00A10F8A" w:rsidRDefault="008D3020" w:rsidP="008D3020">
      <w:pPr>
        <w:jc w:val="center"/>
        <w:rPr>
          <w:rFonts w:ascii="Times New Roman" w:hAnsi="Times New Roman"/>
          <w:sz w:val="28"/>
          <w:szCs w:val="28"/>
        </w:rPr>
      </w:pPr>
      <w:r w:rsidRPr="00A10F8A">
        <w:rPr>
          <w:rFonts w:ascii="Times New Roman" w:hAnsi="Times New Roman"/>
          <w:sz w:val="28"/>
          <w:szCs w:val="28"/>
        </w:rPr>
        <w:t>Przydział sędziów i referendarzy sądowych do wydziałów sądu,  zakres ich obowiązków i sposób uczestniczenia w przydziale spraw i zadań sądu:</w:t>
      </w:r>
    </w:p>
    <w:p w14:paraId="56925848" w14:textId="4751A908" w:rsidR="008D3020" w:rsidRDefault="008D3020"/>
    <w:tbl>
      <w:tblPr>
        <w:tblW w:w="1012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27"/>
        <w:gridCol w:w="1670"/>
        <w:gridCol w:w="308"/>
        <w:gridCol w:w="1540"/>
        <w:gridCol w:w="2272"/>
        <w:gridCol w:w="3586"/>
        <w:gridCol w:w="8"/>
      </w:tblGrid>
      <w:tr w:rsidR="00F5102C" w14:paraId="3EBC1CF3" w14:textId="77777777" w:rsidTr="00320961">
        <w:trPr>
          <w:gridAfter w:val="1"/>
          <w:wAfter w:w="8" w:type="dxa"/>
          <w:trHeight w:val="34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A437B5" w14:textId="77777777" w:rsidR="00F5102C" w:rsidRDefault="00F51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FA0A05" w14:textId="733C39AE" w:rsidR="00F5102C" w:rsidRDefault="00F5102C">
            <w:pPr>
              <w:ind w:left="17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Wydział:   </w:t>
            </w:r>
            <w:r w:rsidR="00320961">
              <w:rPr>
                <w:rFonts w:ascii="Times New Roman" w:hAnsi="Times New Roman"/>
                <w:b/>
                <w:bCs/>
                <w:sz w:val="32"/>
                <w:szCs w:val="32"/>
              </w:rPr>
              <w:t>IV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Wydział </w:t>
            </w:r>
            <w:r w:rsidR="00320961">
              <w:rPr>
                <w:rFonts w:ascii="Times New Roman" w:hAnsi="Times New Roman"/>
                <w:b/>
                <w:bCs/>
                <w:sz w:val="32"/>
                <w:szCs w:val="32"/>
              </w:rPr>
              <w:t>Ksiąg Wieczystych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0DF752" w14:textId="77777777" w:rsidR="00F5102C" w:rsidRDefault="00F51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25F57E8" w14:textId="47D5CBBF" w:rsidR="00D52559" w:rsidRDefault="00D52559">
            <w:pPr>
              <w:rPr>
                <w:rFonts w:ascii="Times New Roman" w:hAnsi="Times New Roman"/>
              </w:rPr>
            </w:pPr>
          </w:p>
        </w:tc>
      </w:tr>
      <w:tr w:rsidR="00320961" w14:paraId="500E6FB7" w14:textId="77777777" w:rsidTr="00320961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DB8D7D" w14:textId="77777777" w:rsidR="00320961" w:rsidRDefault="00320961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CFB6A6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D9EC7A8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F5E7191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3792FA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100%</w:t>
            </w:r>
          </w:p>
        </w:tc>
      </w:tr>
      <w:tr w:rsidR="00320961" w14:paraId="06771E28" w14:textId="77777777" w:rsidTr="00320961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092BA" w14:textId="77777777" w:rsidR="00320961" w:rsidRDefault="003209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69BBD7" w14:textId="77777777" w:rsidR="00320961" w:rsidRDefault="0032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5811E0" w14:textId="77777777" w:rsidR="00320961" w:rsidRDefault="0032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Rasiński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B2B85D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57702D" w14:textId="77777777" w:rsidR="00320961" w:rsidRDefault="00320961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0961" w14:paraId="4096FE5C" w14:textId="77777777" w:rsidTr="00320961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C93AA" w14:textId="77777777" w:rsidR="00320961" w:rsidRDefault="003209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99DE7" w14:textId="77777777" w:rsidR="00320961" w:rsidRDefault="003209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3B62CA" w14:textId="77777777" w:rsidR="00320961" w:rsidRDefault="003209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D4997E0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46AEF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320961" w14:paraId="5E66F598" w14:textId="77777777" w:rsidTr="00320961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A8D75A" w14:textId="77777777" w:rsidR="00320961" w:rsidRDefault="003209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A7FEC" w14:textId="77777777" w:rsidR="00320961" w:rsidRDefault="003209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EA4DB1" w14:textId="77777777" w:rsidR="00320961" w:rsidRDefault="003209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B32152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10)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120C19" w14:textId="77777777" w:rsidR="00320961" w:rsidRDefault="0032096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320961" w14:paraId="2D3774AF" w14:textId="77777777" w:rsidTr="00320961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E8B23E" w14:textId="77777777" w:rsidR="00320961" w:rsidRDefault="003209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00ACF30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BB3609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14C9B2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A5DA5" w14:textId="77777777" w:rsidR="00320961" w:rsidRDefault="00320961">
            <w:pPr>
              <w:rPr>
                <w:rFonts w:ascii="Times New Roman" w:hAnsi="Times New Roman"/>
              </w:rPr>
            </w:pPr>
          </w:p>
        </w:tc>
      </w:tr>
      <w:tr w:rsidR="00320961" w14:paraId="0466C8CB" w14:textId="77777777" w:rsidTr="00320961">
        <w:trPr>
          <w:gridBefore w:val="1"/>
          <w:wBefore w:w="10" w:type="dxa"/>
          <w:trHeight w:val="76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842D13" w14:textId="77777777" w:rsidR="00320961" w:rsidRDefault="00320961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C20107" w14:textId="77777777" w:rsidR="00320961" w:rsidRDefault="0032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Referendarz sądowy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AE3C30" w14:textId="77777777" w:rsidR="00320961" w:rsidRDefault="0032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IV Wydziału Ksiąg Wieczystych.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47E4B0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661D4" w14:textId="77777777" w:rsidR="00320961" w:rsidRDefault="00320961" w:rsidP="00320961">
            <w:pPr>
              <w:pStyle w:val="Tekstpodstawowy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Zastępstwo Przewodniczącego V Zamiejscowego Wydziału Ksiąg Wieczystych z siedzibą w Sępólnie Krajeńskim, referendarza sądowego Macieja Czajkowskiego</w:t>
            </w:r>
          </w:p>
          <w:p w14:paraId="711D1976" w14:textId="77777777" w:rsidR="00320961" w:rsidRDefault="00320961">
            <w:pPr>
              <w:rPr>
                <w:rFonts w:ascii="Times New Roman" w:hAnsi="Times New Roman"/>
              </w:rPr>
            </w:pPr>
          </w:p>
        </w:tc>
      </w:tr>
      <w:tr w:rsidR="00320961" w14:paraId="5487B0A8" w14:textId="77777777" w:rsidTr="00320961">
        <w:trPr>
          <w:gridBefore w:val="1"/>
          <w:wBefore w:w="10" w:type="dxa"/>
          <w:trHeight w:val="431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31D036" w14:textId="77777777" w:rsidR="00320961" w:rsidRDefault="0032096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ogólne reguły</w:t>
            </w:r>
            <w:r>
              <w:rPr>
                <w:rFonts w:ascii="Times New Roman" w:hAnsi="Times New Roman"/>
              </w:rPr>
              <w:br/>
              <w:t>przydziału spraw</w:t>
            </w:r>
            <w:r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0D97DB" w14:textId="613B9674" w:rsidR="00320961" w:rsidRDefault="00320961" w:rsidP="008B3477">
            <w:pPr>
              <w:pStyle w:val="Tekstpodstawowy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14)</w:t>
            </w:r>
            <w:r w:rsidR="008B3477">
              <w:rPr>
                <w:rFonts w:ascii="Times New Roman" w:hAnsi="Times New Roman"/>
                <w:vertAlign w:val="superscript"/>
              </w:rPr>
              <w:t xml:space="preserve"> </w:t>
            </w:r>
            <w:r w:rsidR="008B3477">
              <w:rPr>
                <w:rFonts w:ascii="Times New Roman" w:hAnsi="Times New Roman"/>
                <w:szCs w:val="24"/>
              </w:rPr>
              <w:t>- wykonywanie zarządzeń Prezesa Sądu i Przewodniczące Wydziału.</w:t>
            </w:r>
          </w:p>
        </w:tc>
      </w:tr>
      <w:tr w:rsidR="00320961" w14:paraId="0C3CAC87" w14:textId="77777777" w:rsidTr="00320961">
        <w:trPr>
          <w:gridBefore w:val="1"/>
          <w:wBefore w:w="10" w:type="dxa"/>
          <w:trHeight w:val="150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90FFDC" w14:textId="77777777" w:rsidR="00320961" w:rsidRDefault="00320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48B29" w14:textId="77777777" w:rsidR="00320961" w:rsidRDefault="003209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15)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789E1A" w14:textId="77777777" w:rsidR="00320961" w:rsidRDefault="00320961">
            <w:pPr>
              <w:pStyle w:val="Tekstpodstawowy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9563BB0" w14:textId="77777777" w:rsidR="00320961" w:rsidRDefault="00320961">
            <w:pPr>
              <w:pStyle w:val="Tekstpodstawowy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2CE80CF" w14:textId="67304410" w:rsidR="008D3020" w:rsidRDefault="008D3020" w:rsidP="00F5102C">
      <w:pPr>
        <w:spacing w:after="0"/>
      </w:pPr>
    </w:p>
    <w:p w14:paraId="4F21EE6E" w14:textId="77777777" w:rsidR="00183E96" w:rsidRDefault="00183E96" w:rsidP="00183E96">
      <w:pPr>
        <w:spacing w:before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II</w:t>
      </w:r>
    </w:p>
    <w:p w14:paraId="63C4CCB2" w14:textId="77777777" w:rsidR="00183E96" w:rsidRDefault="00183E96" w:rsidP="00183E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Plan dyżurów oraz zastępstw sędziów, asesorów sądowych i referendarzy sądowych</w:t>
      </w:r>
      <w:r>
        <w:rPr>
          <w:rFonts w:ascii="Times New Roman" w:hAnsi="Times New Roman"/>
          <w:vertAlign w:val="superscript"/>
        </w:rPr>
        <w:t>16)</w:t>
      </w:r>
      <w:r>
        <w:rPr>
          <w:rFonts w:ascii="Times New Roman" w:hAnsi="Times New Roman"/>
        </w:rPr>
        <w:t>:</w:t>
      </w: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339"/>
      </w:tblGrid>
      <w:tr w:rsidR="00183E96" w14:paraId="375850AB" w14:textId="77777777" w:rsidTr="00183E96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FEDC799" w14:textId="77777777" w:rsidR="00183E96" w:rsidRDefault="00183E9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00EE085" w14:textId="77777777" w:rsidR="00183E96" w:rsidRDefault="00183E9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5C8210A" w14:textId="77777777" w:rsidR="00183E96" w:rsidRDefault="00183E9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br/>
              <w:t>dyżurnych</w:t>
            </w:r>
            <w:r>
              <w:rPr>
                <w:rFonts w:ascii="Times New Roman" w:hAnsi="Times New Roman"/>
              </w:rPr>
              <w:br/>
              <w:t>i pełniących</w:t>
            </w:r>
            <w:r>
              <w:rPr>
                <w:rFonts w:ascii="Times New Roman" w:hAnsi="Times New Roman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8447E" w14:textId="77777777" w:rsidR="00183E96" w:rsidRDefault="00183E9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i/lub sędziowie, asesorzy sądowi</w:t>
            </w:r>
            <w:r>
              <w:rPr>
                <w:rFonts w:ascii="Times New Roman" w:hAnsi="Times New Roman"/>
              </w:rPr>
              <w:br/>
              <w:t>i referendarze sądowi</w:t>
            </w:r>
          </w:p>
        </w:tc>
      </w:tr>
      <w:tr w:rsidR="00183E96" w14:paraId="26950FD5" w14:textId="77777777" w:rsidTr="00183E96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E8233B" w14:textId="77777777" w:rsidR="00183E96" w:rsidRDefault="00183E9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9C95E8" w14:textId="273CB352" w:rsidR="00183E96" w:rsidRDefault="00183E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Wieczysto-Księgow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2FA858" w14:textId="77777777" w:rsidR="00183E96" w:rsidRDefault="00183E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dyżurów</w:t>
            </w:r>
          </w:p>
          <w:p w14:paraId="485A0140" w14:textId="277B3E4A" w:rsidR="00183E96" w:rsidRDefault="00183E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pełniący zastępstwo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C074" w14:textId="77777777" w:rsidR="00183E96" w:rsidRDefault="00183E96">
            <w:pPr>
              <w:spacing w:after="0"/>
              <w:rPr>
                <w:rFonts w:ascii="Times New Roman" w:hAnsi="Times New Roman"/>
              </w:rPr>
            </w:pPr>
          </w:p>
          <w:p w14:paraId="4559F191" w14:textId="3E1169AF" w:rsidR="00183E96" w:rsidRDefault="00183E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pełni: 1 referendarz sądowy z I Wydziału Cywilnego</w:t>
            </w:r>
          </w:p>
        </w:tc>
      </w:tr>
    </w:tbl>
    <w:p w14:paraId="41B002DD" w14:textId="77777777" w:rsidR="008D3020" w:rsidRDefault="008D3020"/>
    <w:sectPr w:rsidR="008D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978"/>
    <w:multiLevelType w:val="hybridMultilevel"/>
    <w:tmpl w:val="EE6097F2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94"/>
    <w:multiLevelType w:val="hybridMultilevel"/>
    <w:tmpl w:val="A02E7198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F"/>
    <w:rsid w:val="00183E96"/>
    <w:rsid w:val="00320961"/>
    <w:rsid w:val="007C5C19"/>
    <w:rsid w:val="007F2CCF"/>
    <w:rsid w:val="008B3477"/>
    <w:rsid w:val="008D3020"/>
    <w:rsid w:val="00D52559"/>
    <w:rsid w:val="00DA19C8"/>
    <w:rsid w:val="00DF2D1D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07C"/>
  <w15:chartTrackingRefBased/>
  <w15:docId w15:val="{28D0C998-56FA-4304-854E-FDCDB14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2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D3020"/>
    <w:pPr>
      <w:snapToGrid w:val="0"/>
      <w:spacing w:after="0" w:line="240" w:lineRule="auto"/>
    </w:pPr>
    <w:rPr>
      <w:rFonts w:ascii="Ottawa" w:hAnsi="Ottawa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020"/>
    <w:rPr>
      <w:rFonts w:ascii="Ottawa" w:eastAsia="Times New Roman" w:hAnsi="Ottaw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6</cp:revision>
  <dcterms:created xsi:type="dcterms:W3CDTF">2021-11-15T11:07:00Z</dcterms:created>
  <dcterms:modified xsi:type="dcterms:W3CDTF">2021-11-15T11:28:00Z</dcterms:modified>
</cp:coreProperties>
</file>